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4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9080"/>
                    <w:gridCol w:w="1000"/>
                  </w:tblGrid>
                  <w:tr>
                    <w:trPr>
                      <w:trHeight w:hRule="exact" w:val="4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40" w:type="dxa"/>
                          <w:right w:w="0" w:type="dxa"/>
                        </w:tcMar>
                        <w:vAlign w:val="center"/>
                      </w:tcPr>
                      <w:p>
                        <w:pPr>
                          <w:pStyle w:val="headerMainTitle"/>
                          <w:ind/>
                        </w:pPr>
                        <w:r>
                          <w:rPr>
       </w:rPr>
                          <w:t xml:space="preserve">DSPS SLOs 2025-26 from eLumen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600"/>
              <w:gridCol w:w="4140"/>
              <w:gridCol w:w="160"/>
              <w:gridCol w:w="5180"/>
            </w:tblGrid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p"/>
                    <w:ind/>
                  </w:pPr>
                  <w:r>
                    <w:rPr>
       </w:rPr>
                    <w:t xml:space="preserve">De Anza College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p"/>
                    <w:ind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p"/>
                    <w:ind/>
                  </w:pPr>
                  <w:r>
                    <w:rPr>
       </w:rPr>
                    <w:t xml:space="preserve">09-15-2026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shd w:val="clear" w:color="auto" w:fill="E5E5E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top"/>
          </w:tcPr>
          <w:p>
            <w:pPr>
              <w:pStyle w:val="frameH1"/>
              <w:ind/>
            </w:pPr>
            <w:r>
              <w:rPr>
       </w:rPr>
              <w:t xml:space="preserve">Disability Svcs. and Support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top"/>
          </w:tcPr>
          <w:p>
            <w:pPr>
              <w:pStyle w:val="frameH2"/>
              <w:ind/>
            </w:pPr>
            <w:r>
              <w:rPr>
       </w:rPr>
              <w:t xml:space="preserve">EDAC - Educational Access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5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2"/>
                    <w:ind/>
                  </w:pPr>
                  <w:r>
                    <w:rPr>
       </w:rPr>
                    <w:t xml:space="preserve">CSLO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EDACD001. - Introduction to College and Accommodations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Explain the differences between disability access laws in secondary and post-secondary education.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Articulate their legal rights to educational accommodations, self-advocate, and appropriately utilize De Anza College disability resources.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knowledge of De Anza policies, programs, resources, and services.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EDACD020. - Universal Design and Accessibility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Examine inclusive principles of Universal Design (UD), and applications across varied disciplines such as architecture and urban design, education, engineering, multimedia, technology, and transportation.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common media accessibility barriers experienced by users with sensory impairments.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Analyze and restructure digital documents to improve accessibility.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EDACD230. - Vocational Interests and Aptitudes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areas of vocational interest.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aptitudes that can enhance work skills.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EDACD230R - Vocational Interests and Aptitudes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areas of vocational interest.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aptitudes that can enhance work skills.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EDACD230S - Vocational Interests and Aptitudes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areas of vocational interest.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aptitudes that can enhance work skills.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EDACD230X - Vocational Interests and Aptitudes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areas of vocational interest.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aptitudes that can enhance work skills.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EDACD230Y - Vocational Interests and Aptitudes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areas of vocational interest.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aptitudes that can enhance work skills.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EDACD230Z - Vocational Interests and Aptitudes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areas of vocational interest.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aptitudes that can enhance work skills.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EDACD231V - Workforce Skills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demonstrate proficiency in 1 or more workplace skills related to career goals.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EDACD231Z - Workforce Skills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demonstrate proficiency in 1 or more workplace skills related to career goals.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EDACD232R - Workplace Culture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discuss 1 or more aspects of workplace culture related to career goals.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EDACD232V - Workplace Culture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1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6:22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6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DSPS SLOs 2025-26 from eLumen</w:t>
                        </w: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8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discuss 1 or more aspects of workplace culture related to career goals.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EDACD232Z - Workplace Culture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discuss 1 or more aspects of workplace culture related to career goals.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EDACD233. - Professional Conduct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demonstrate two or more professional behaviors necessary to the workplace.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EDACD233T - Professional Conduct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demonstrate two or more professional behaviors necessary to the workplace.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EDACD234. - Civic Responsibility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one or more community resources.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EDACD235. - Transition to Campus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the services and resources available for students with disabilities on campus.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EDACD235Z - Transition to Campus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the services and resources available for students with disabilities on campus.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EDACD241. - Assistive Technology Supports for Learning Differences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Evaluate Assistive Technology tools and strategies that support Cognitive and Learning needs.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selected Assistive Technology tools to support identified learning needs.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EDACD245. - Assistive Technology Access (Windows)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the ability to independently employ assistive computer technology appropriate to their needs in the context of basic computer management, word processing, and Internet browsing.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EDACD430. - Vocational Interests and Aptitudes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aptitudes that can enhance work skills.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EDACD433. - Professional Conduct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areas of vocational interest.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aptitudes that can enhance work skills.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EDACD435. - Transition to Campus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aptitudes that can enhance work skills.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areas of vocational interest.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EDACD435Z - Transition to Campus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areas of vocational interest.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Identify and develop aptitudes that can enhance work skills.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top"/>
          </w:tcPr>
          <w:p>
            <w:pPr>
              <w:pStyle w:val="frameH2"/>
              <w:ind/>
            </w:pPr>
            <w:r>
              <w:rPr>
       </w:rPr>
              <w:t xml:space="preserve">L S - Learning Strategies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7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2"/>
                    <w:ind/>
                  </w:pPr>
                  <w:r>
                    <w:rPr>
       </w:rPr>
                    <w:t xml:space="preserve">CSLO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L SD050. - Student Success Strategies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Formulate an individualized study strategy which include accommodations and advocacy for their specific disability.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study techniques by utilizing individualized study strategies and apply it in other course(s).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L SD207. - Introductory Writing and Grammar Skills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Compose an appropriately structured paragraph.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standard grammar and punctuation in their written work.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L SD211. - Algebra Skills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Utilize the applications of the real number system.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top"/>
          </w:tcPr>
          <w:p>
            <w:pPr>
              <w:pStyle w:val="frameH2"/>
              <w:ind/>
            </w:pPr>
            <w:r>
              <w:rPr>
       </w:rPr>
              <w:t xml:space="preserve">PEA - Physical Ed./Adapted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7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2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6:22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6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DSPS SLOs 2025-26 from eLumen</w:t>
                        </w: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2"/>
                    <w:ind/>
                  </w:pPr>
                  <w:r>
                    <w:rPr>
       </w:rPr>
                    <w:t xml:space="preserve">CSLO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PEAD001. - Adapted Total Fitness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Within the context of a student's disability, he/she will be able to demonstrate that his/her physical being has been positively affected through the Adapted Total Fitness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Within the the context of a student's disability, that his/her psychosocial well being has been positively affected through the Adapted Total Fitness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PEAD001X - Adapted Total Fitness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Within the context of a student's disability, he/she will be able to demonstrate that his/her physical being has been positively affected through the Adapted Total Fitness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Within the the context of a student's disability, that his/her psychosocial well being has been positively affected through the Adapted Total Fitness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PEAD002. - Adapted Strength Development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that his/her physical being has been positively affected through the Adapted Strength Training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Within the context of a student's disability, his/her psychosocial well being has been positively affected through the Adapted Strength Training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PEAD002X - Adapted Strength Development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that his/her physical being has been positively affected through the Adapted Strength Training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that his/her psychosocial well being has been positively affected through the Adapted Strength Training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PEAD004. - Adapted Cardiovascular Training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that physical well being has been positively affected through the Adapted Cardiovascular Training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that  psychosocial well being has been positively affected through the Adapted Cardiovascular Training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PEAD004X - Adapted Cardiovascular Training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that physical well being has been positively affected through the Adapted Cardiovascular Training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that psychosocial well being has been positively affected through the Adapted Cardiovascular Training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PEAD005. - Adapted Aquatic Exercise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that the student's physical well being has been positively affected through the Adapted Aquatics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that the student's psychosocial well being has been positively affected through the Adapted Aquatics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PEAD005X - Adapted Aquatic Exercise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that the student's physical well being has been positively affected through the Adapted Aquatics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that the student's psychosocial well being has been positively affected through the Adapted Aquatics course.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PEAD015. - Adapted Aerobic Swimming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cardio-respiratory endurance.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aerobic and anaerobic training techniques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PEAD015X - Adapted Aerobic Swimming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cardio-respiratory endurance.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aerobic and anaerobic training techniques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PEAD015Y - Adapted Aerobic Swimming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cardio-respiratory endurance.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aerobic and anaerobic training techniques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PEAD015Z - Adapted Aerobic Swimming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cardio-respiratory endurance.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aerobic and anaerobic training techniques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shd w:val="clear" w:color="auto" w:fill="FFFFFF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9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3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6:22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2240" w:h="15840" w:orient="portrait"/>
      <w:pgMar w:top="720" w:right="460" w:bottom="360" w:left="108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frameH1">
    <w:name w:val="frameH1"/>
    <w:qFormat/>
    <w:pPr>
      <w:ind/>
    </w:pPr>
    <w:rPr>
      <w:rFonts w:ascii="SansSerif" w:hAnsi="SansSerif" w:eastAsia="SansSerif" w:cs="SansSerif"/>
      <w:color w:val="000000"/>
      <w:sz w:val="20"/>
      <w:b w:val="true"/>
    </w:rPr>
  </w:style>
  <w:style w:type="paragraph" w:styleId="frameH2">
    <w:name w:val="frameH2"/>
    <w:qFormat/>
    <w:pPr>
      <w:ind/>
    </w:pPr>
    <w:rPr>
      <w:rFonts w:ascii="SansSerif" w:hAnsi="SansSerif" w:eastAsia="SansSerif" w:cs="SansSerif"/>
      <w:color w:val="000000"/>
      <w:sz w:val="20"/>
    </w:rPr>
  </w:style>
  <w:style w:type="paragraph" w:styleId="H1">
    <w:name w:val="H1"/>
    <w:qFormat/>
    <w:pPr>
      <w:ind/>
      <w:jc w:val="center"/>
    </w:pPr>
    <w:rPr>
      <w:rFonts w:ascii="SansSerif" w:hAnsi="SansSerif" w:eastAsia="SansSerif" w:cs="SansSerif"/>
      <w:color w:val="000000"/>
      <w:sz w:val="30"/>
    </w:rPr>
  </w:style>
  <w:style w:type="paragraph" w:styleId="H2">
    <w:name w:val="H2"/>
    <w:qFormat/>
    <w:pPr>
      <w:ind/>
      <w:jc w:val="left"/>
    </w:pPr>
    <w:rPr>
      <w:rFonts w:ascii="SansSerif" w:hAnsi="SansSerif" w:eastAsia="SansSerif" w:cs="SansSerif"/>
      <w:color w:val="000000"/>
      <w:sz w:val="26"/>
      <w:b w:val="true"/>
    </w:rPr>
  </w:style>
  <w:style w:type="paragraph" w:styleId="H3">
    <w:name w:val="H3"/>
    <w:qFormat/>
    <w:pPr>
      <w:ind/>
    </w:pPr>
    <w:rPr>
      <w:rFonts w:ascii="SansSerif" w:hAnsi="SansSerif" w:eastAsia="SansSerif" w:cs="SansSerif"/>
      <w:color w:val="000000"/>
      <w:sz w:val="22"/>
      <w:b w:val="true"/>
      <w:i w:val="true"/>
    </w:rPr>
  </w:style>
  <w:style w:type="paragraph" w:styleId="p">
    <w:name w:val="p"/>
    <w:qFormat/>
    <w:pPr>
      <w:ind/>
      <w:jc w:val="left"/>
    </w:pPr>
    <w:rPr>
      <w:rFonts w:ascii="Serif" w:hAnsi="Serif" w:eastAsia="Serif" w:cs="Serif"/>
      <w:color w:val="000000"/>
      <w:sz w:val="20"/>
    </w:rPr>
  </w:style>
  <w:style w:type="paragraph" w:styleId="headerLeft">
    <w:name w:val="headerLeft"/>
    <w:qFormat/>
    <w:pPr>
      <w:ind/>
      <w:jc w:val="left"/>
    </w:pPr>
    <w:rPr>
      <w:rFonts w:ascii="OpenSans" w:hAnsi="OpenSans" w:eastAsia="OpenSans" w:cs="OpenSans"/>
      <w:color w:val="666666"/>
      <w:sz w:val="20"/>
    </w:rPr>
  </w:style>
  <w:style w:type="paragraph" w:styleId="headerMainTitle">
    <w:name w:val="headerMainTitle"/>
    <w:qFormat/>
    <w:pPr>
      <w:ind/>
      <w:jc w:val="left"/>
    </w:pPr>
    <w:rPr>
      <w:rFonts w:ascii="OpenSans" w:hAnsi="OpenSans" w:eastAsia="OpenSans" w:cs="OpenSans"/>
      <w:color w:val="000000"/>
      <w:sz w:val="34"/>
    </w:rPr>
  </w:style>
  <w:style w:type="paragraph" w:styleId="pSmall">
    <w:name w:val="pSmall"/>
    <w:qFormat/>
    <w:pPr>
      <w:ind/>
      <w:jc w:val="left"/>
    </w:pPr>
    <w:rPr>
      <w:rFonts w:ascii="SansSerif" w:hAnsi="SansSerif" w:eastAsia="SansSerif" w:cs="SansSerif"/>
      <w:color w:val="000000"/>
      <w:sz w:val="14"/>
    </w:rPr>
  </w:style>
  <w:style w:type="paragraph" w:styleId="h2">
    <w:name w:val="h2"/>
    <w:qFormat/>
    <w:pPr>
      <w:ind/>
      <w:jc w:val="left"/>
    </w:pPr>
    <w:rPr>
      <w:rFonts w:ascii="SansSerif" w:hAnsi="SansSerif" w:eastAsia="SansSerif" w:cs="SansSerif"/>
      <w:color w:val="000000"/>
      <w:sz w:val="20"/>
      <w:b w:val="true"/>
    </w:rPr>
  </w:style>
  <w:style w:type="paragraph" w:styleId="h3">
    <w:name w:val="h3"/>
    <w:qFormat/>
    <w:pPr>
      <w:ind/>
      <w:jc w:val="left"/>
    </w:pPr>
    <w:rPr>
      <w:rFonts w:ascii="SansSerif" w:hAnsi="SansSerif" w:eastAsia="SansSerif" w:cs="SansSerif"/>
      <w:color w:val="000000"/>
      <w:sz w:val="20"/>
    </w:rPr>
  </w:style>
  <w:style w:type="paragraph" w:styleId="footerLeft">
    <w:name w:val="footerLeft"/>
    <w:qFormat/>
    <w:pPr>
      <w:ind/>
      <w:jc w:val="left"/>
    </w:pPr>
    <w:rPr>
      <w:rFonts w:ascii="OpenSans" w:hAnsi="OpenSans" w:eastAsia="OpenSans" w:cs="OpenSans"/>
      <w:color w:val="666666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</Relationships>

</file>